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 Revival Client Report Template</w:t>
      </w:r>
    </w:p>
    <w:p>
      <w:r>
        <w:t>Record the frozen cohort, its baseline, daily decisions and fixed read-outs. Fill the empty fields with client data. Keep attributed and incremental revenue separate.</w:t>
      </w:r>
    </w:p>
    <w:p>
      <w:pPr>
        <w:pStyle w:val="Heading1"/>
      </w:pPr>
      <w:r>
        <w:t>1 Scope and cohort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10224"/>
      </w:tblGrid>
      <w:tr>
        <w:trPr>
          <w:tblHeader/>
          <w:cantSplit/>
        </w:trPr>
        <w:tc>
          <w:tcPr>
            <w:tcW w:type="dxa" w:w="4752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Field</w:t>
            </w:r>
          </w:p>
        </w:tc>
        <w:tc>
          <w:tcPr>
            <w:tcW w:type="dxa" w:w="10224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Value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Client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Engagement dates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ESP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Sending domains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Snapshot size and date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Eligibility holds count and reasons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Eligible count by tier B C D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80" w:before="80"/>
            </w:pPr>
            <w:r>
              <w:rPr>
                <w:sz w:val="18"/>
              </w:rPr>
              <w:t>Measurement windows 45 days primary and 90 days attribution</w:t>
            </w:r>
          </w:p>
        </w:tc>
        <w:tc>
          <w:tcPr>
            <w:tcW w:type="dxa" w:w="10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Baseline and engaged control over the prior 90 days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3600"/>
        <w:gridCol w:w="3600"/>
      </w:tblGrid>
      <w:tr>
        <w:trPr>
          <w:tblHeader/>
          <w:cantSplit/>
        </w:trPr>
        <w:tc>
          <w:tcPr>
            <w:tcW w:type="dxa" w:w="777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Metric</w:t>
            </w:r>
          </w:p>
        </w:tc>
        <w:tc>
          <w:tcPr>
            <w:tcW w:type="dxa" w:w="360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Frozen cohort baseline</w:t>
            </w:r>
          </w:p>
        </w:tc>
        <w:tc>
          <w:tcPr>
            <w:tcW w:type="dxa" w:w="360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Engaged control</w:t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Delivered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Clicks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Click-to-delivered rate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Orders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Revenue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Unsubscribes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Complaints</w:t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2 Suppressions and scan results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880"/>
        <w:gridCol w:w="4320"/>
      </w:tblGrid>
      <w:tr>
        <w:trPr>
          <w:tblHeader/>
          <w:cantSplit/>
        </w:trPr>
        <w:tc>
          <w:tcPr>
            <w:tcW w:type="dxa" w:w="777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Field</w:t>
            </w:r>
          </w:p>
        </w:tc>
        <w:tc>
          <w:tcPr>
            <w:tcW w:type="dxa" w:w="288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Count or value</w:t>
            </w:r>
          </w:p>
        </w:tc>
        <w:tc>
          <w:tcPr>
            <w:tcW w:type="dxa" w:w="432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Note</w:t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Scan date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Undeliverable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Dead domain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Disposable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Role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Typo-domain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Trap-pattern inference not detection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Held catch-all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Invalid share of snapshot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Risky share of snapshot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Sendable count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Sendable share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7776"/>
          </w:tcPr>
          <w:p>
            <w:pPr>
              <w:spacing w:after="80" w:before="80"/>
            </w:pPr>
            <w:r>
              <w:rPr>
                <w:sz w:val="18"/>
              </w:rPr>
              <w:t>Suppression list format and location</w:t>
            </w:r>
          </w:p>
        </w:tc>
        <w:tc>
          <w:tcPr>
            <w:tcW w:type="dxa" w:w="28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 The daily stream and stop condition log</w:t>
      </w:r>
    </w:p>
    <w:p>
      <w:r>
        <w:t>Thresholds: hard bounces above 2% stop; 1–2% halve; complaints at 0.10% pause 48 hours, 0.30% stop; authentication failure stop; engaged-segment click rate 20% below baseline for 5 days stop.</w:t>
      </w:r>
    </w:p>
    <w:p>
      <w:r>
        <w:t>Include days that paused. Decision options are ship, shrink, pause or stop. Record the rule that produced each decision.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008"/>
        <w:gridCol w:w="1152"/>
        <w:gridCol w:w="1800"/>
        <w:gridCol w:w="1224"/>
        <w:gridCol w:w="1800"/>
        <w:gridCol w:w="1440"/>
        <w:gridCol w:w="1008"/>
        <w:gridCol w:w="3816"/>
      </w:tblGrid>
      <w:tr>
        <w:trPr>
          <w:tblHeader/>
          <w:cantSplit/>
        </w:trPr>
        <w:tc>
          <w:tcPr>
            <w:tcW w:type="dxa" w:w="57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Day</w:t>
            </w:r>
          </w:p>
        </w:tc>
        <w:tc>
          <w:tcPr>
            <w:tcW w:type="dxa" w:w="100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Cohort size</w:t>
            </w:r>
          </w:p>
        </w:tc>
        <w:tc>
          <w:tcPr>
            <w:tcW w:type="dxa" w:w="1152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Delivered</w:t>
            </w:r>
          </w:p>
        </w:tc>
        <w:tc>
          <w:tcPr>
            <w:tcW w:type="dxa" w:w="180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Hard bounces count and %</w:t>
            </w:r>
          </w:p>
        </w:tc>
        <w:tc>
          <w:tcPr>
            <w:tcW w:type="dxa" w:w="1224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Soft bounces</w:t>
            </w:r>
          </w:p>
        </w:tc>
        <w:tc>
          <w:tcPr>
            <w:tcW w:type="dxa" w:w="180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Complaints count and %</w:t>
            </w:r>
          </w:p>
        </w:tc>
        <w:tc>
          <w:tcPr>
            <w:tcW w:type="dxa" w:w="144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Unsubscribes %</w:t>
            </w:r>
          </w:p>
        </w:tc>
        <w:tc>
          <w:tcPr>
            <w:tcW w:type="dxa" w:w="100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Clicks %</w:t>
            </w:r>
          </w:p>
        </w:tc>
        <w:tc>
          <w:tcPr>
            <w:tcW w:type="dxa" w:w="381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Decision and rule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3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4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5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6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7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8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9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10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11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12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13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14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15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16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17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18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19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20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21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22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23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24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25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26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27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28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29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80" w:before="80"/>
            </w:pPr>
            <w:r>
              <w:rPr>
                <w:sz w:val="18"/>
              </w:rPr>
              <w:t>30</w:t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4 Engagement on the cohort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048"/>
        <w:gridCol w:w="2448"/>
        <w:gridCol w:w="1584"/>
        <w:gridCol w:w="1584"/>
        <w:gridCol w:w="3312"/>
      </w:tblGrid>
      <w:tr>
        <w:trPr>
          <w:tblHeader/>
          <w:cantSplit/>
        </w:trPr>
        <w:tc>
          <w:tcPr>
            <w:tcW w:type="dxa" w:w="60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Metric</w:t>
            </w:r>
          </w:p>
        </w:tc>
        <w:tc>
          <w:tcPr>
            <w:tcW w:type="dxa" w:w="24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Baseline (90 days prior)</w:t>
            </w:r>
          </w:p>
        </w:tc>
        <w:tc>
          <w:tcPr>
            <w:tcW w:type="dxa" w:w="1584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Day 45</w:t>
            </w:r>
          </w:p>
        </w:tc>
        <w:tc>
          <w:tcPr>
            <w:tcW w:type="dxa" w:w="1584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Day 90</w:t>
            </w:r>
          </w:p>
        </w:tc>
        <w:tc>
          <w:tcPr>
            <w:tcW w:type="dxa" w:w="3312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Control (engaged segment)</w:t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Delivered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Click-to-delivered rate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Responders (at least one click or order)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Reactivation rate (responders ÷ cohort)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Unsubscribe rate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Complaint rate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048"/>
          </w:tcPr>
          <w:p>
            <w:pPr>
              <w:spacing w:after="80" w:before="80"/>
            </w:pPr>
            <w:r>
              <w:rPr>
                <w:sz w:val="18"/>
              </w:rPr>
              <w:t>Open rate (directional only; Apple Mail inflated)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312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t>Keep numerator and denominator together for every rate. Open rate is directional only; clicks, orders and revenue are the outcomes.</w:t>
      </w:r>
    </w:p>
    <w:p>
      <w:r>
        <w:br w:type="page"/>
      </w:r>
    </w:p>
    <w:p>
      <w:pPr>
        <w:pStyle w:val="Heading1"/>
      </w:pPr>
      <w:r>
        <w:t>5 Revenue</w:t>
      </w:r>
    </w:p>
    <w:p>
      <w:r>
        <w:t>Attribution rule: orders within 90 days by cohort members with at least one revival click. If the client uses a different window, report both and label each.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  <w:gridCol w:w="2448"/>
        <w:gridCol w:w="2448"/>
      </w:tblGrid>
      <w:tr>
        <w:trPr>
          <w:tblHeader/>
          <w:cantSplit/>
        </w:trPr>
        <w:tc>
          <w:tcPr>
            <w:tcW w:type="dxa" w:w="1008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Metric</w:t>
            </w:r>
          </w:p>
        </w:tc>
        <w:tc>
          <w:tcPr>
            <w:tcW w:type="dxa" w:w="24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Day 45</w:t>
            </w:r>
          </w:p>
        </w:tc>
        <w:tc>
          <w:tcPr>
            <w:tcW w:type="dxa" w:w="24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Day 90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Orders by cohort members who clicked a revival email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Attributed gross revenue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Baseline revenue expectation for the cohort (usually zero)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Incremental revenue (attributed minus baseline expectation)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Revenue per 1,000 cohort contacts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Program cost (scan, setup, stream, retainer, success component)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  <w:t>Net</w:t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t>Client attribution rule and window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  <w:gridCol w:w="2448"/>
        <w:gridCol w:w="3888"/>
      </w:tblGrid>
      <w:tr>
        <w:trPr>
          <w:tblHeader/>
          <w:cantSplit/>
        </w:trPr>
        <w:tc>
          <w:tcPr>
            <w:tcW w:type="dxa" w:w="864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Rule</w:t>
            </w:r>
          </w:p>
        </w:tc>
        <w:tc>
          <w:tcPr>
            <w:tcW w:type="dxa" w:w="24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Window</w:t>
            </w:r>
          </w:p>
        </w:tc>
        <w:tc>
          <w:tcPr>
            <w:tcW w:type="dxa" w:w="388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Note</w:t>
            </w:r>
          </w:p>
        </w:tc>
      </w:tr>
      <w:tr>
        <w:trPr>
          <w:cantSplit/>
        </w:trPr>
        <w:tc>
          <w:tcPr>
            <w:tcW w:type="dxa" w:w="86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388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6 Reputation and compliance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24"/>
        <w:gridCol w:w="2016"/>
        <w:gridCol w:w="2016"/>
        <w:gridCol w:w="4320"/>
      </w:tblGrid>
      <w:tr>
        <w:trPr>
          <w:tblHeader/>
          <w:cantSplit/>
        </w:trPr>
        <w:tc>
          <w:tcPr>
            <w:tcW w:type="dxa" w:w="6624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Measure</w:t>
            </w:r>
          </w:p>
        </w:tc>
        <w:tc>
          <w:tcPr>
            <w:tcW w:type="dxa" w:w="201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Start</w:t>
            </w:r>
          </w:p>
        </w:tc>
        <w:tc>
          <w:tcPr>
            <w:tcW w:type="dxa" w:w="201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End</w:t>
            </w:r>
          </w:p>
        </w:tc>
        <w:tc>
          <w:tcPr>
            <w:tcW w:type="dxa" w:w="432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Evidence or note</w:t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Postmaster daily spam rate with 0.10% and 0.30% lines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Postmaster Compliance status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SNDS filter result and complaint rate per IP where applicable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Yahoo CFL complaints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SPF pass on every stream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DKIM pass on every stream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DMARC alignment on every stream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624"/>
          </w:tcPr>
          <w:p>
            <w:pPr>
              <w:spacing w:after="80" w:before="80"/>
            </w:pPr>
            <w:r>
              <w:rPr>
                <w:sz w:val="18"/>
              </w:rPr>
              <w:t>Engaged-segment metrics over the period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432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7 Next steps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192"/>
        <w:gridCol w:w="2016"/>
        <w:gridCol w:w="1728"/>
        <w:gridCol w:w="5040"/>
      </w:tblGrid>
      <w:tr>
        <w:trPr>
          <w:tblHeader/>
          <w:cantSplit/>
        </w:trPr>
        <w:tc>
          <w:tcPr>
            <w:tcW w:type="dxa" w:w="6192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Action</w:t>
            </w:r>
          </w:p>
        </w:tc>
        <w:tc>
          <w:tcPr>
            <w:tcW w:type="dxa" w:w="2016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172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504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Supporting data or note</w:t>
            </w:r>
          </w:p>
        </w:tc>
      </w:tr>
      <w:tr>
        <w:trPr>
          <w:cantSplit/>
        </w:trPr>
        <w:tc>
          <w:tcPr>
            <w:tcW w:type="dxa" w:w="6192"/>
          </w:tcPr>
          <w:p>
            <w:pPr>
              <w:spacing w:after="80" w:before="80"/>
            </w:pPr>
            <w:r>
              <w:rPr>
                <w:sz w:val="18"/>
              </w:rPr>
              <w:t>Disposition of non-responders sunset then suppression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192"/>
          </w:tcPr>
          <w:p>
            <w:pPr>
              <w:spacing w:after="80" w:before="80"/>
            </w:pPr>
            <w:r>
              <w:rPr>
                <w:sz w:val="18"/>
              </w:rPr>
              <w:t>Sunset windows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192"/>
          </w:tcPr>
          <w:p>
            <w:pPr>
              <w:spacing w:after="80" w:before="80"/>
            </w:pPr>
            <w:r>
              <w:rPr>
                <w:sz w:val="18"/>
              </w:rPr>
              <w:t>Exclude unengaged tier from campaigns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192"/>
          </w:tcPr>
          <w:p>
            <w:pPr>
              <w:spacing w:after="80" w:before="80"/>
            </w:pPr>
            <w:r>
              <w:rPr>
                <w:sz w:val="18"/>
              </w:rPr>
              <w:t>Suppression reconciliation routine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192"/>
          </w:tcPr>
          <w:p>
            <w:pPr>
              <w:spacing w:after="80" w:before="80"/>
            </w:pPr>
            <w:r>
              <w:rPr>
                <w:sz w:val="18"/>
              </w:rPr>
              <w:t>Expansion candidates and supporting data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6192"/>
          </w:tcPr>
          <w:p>
            <w:pPr>
              <w:spacing w:after="80" w:before="80"/>
            </w:pPr>
            <w:r>
              <w:rPr>
                <w:sz w:val="18"/>
              </w:rPr>
              <w:t>Monthly list health reporting schedule</w:t>
            </w:r>
          </w:p>
        </w:tc>
        <w:tc>
          <w:tcPr>
            <w:tcW w:type="dxa" w:w="2016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172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p>
      <w:pPr>
        <w:pStyle w:val="Heading2"/>
      </w:pPr>
      <w:r>
        <w:t>Next client 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  <w:gridCol w:w="2448"/>
        <w:gridCol w:w="2448"/>
      </w:tblGrid>
      <w:tr>
        <w:trPr>
          <w:tblHeader/>
          <w:cantSplit/>
        </w:trPr>
        <w:tc>
          <w:tcPr>
            <w:tcW w:type="dxa" w:w="10080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Decision</w:t>
            </w:r>
          </w:p>
        </w:tc>
        <w:tc>
          <w:tcPr>
            <w:tcW w:type="dxa" w:w="24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Owner</w:t>
            </w:r>
          </w:p>
        </w:tc>
        <w:tc>
          <w:tcPr>
            <w:tcW w:type="dxa" w:w="2448"/>
            <w:shd w:fill="E9E0F3"/>
          </w:tcPr>
          <w:p>
            <w:pPr>
              <w:spacing w:after="80" w:before="80"/>
            </w:pPr>
            <w:r>
              <w:rPr>
                <w:b/>
                <w:sz w:val="18"/>
              </w:rPr>
              <w:t>Due date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80" w:before="80"/>
            </w:pPr>
            <w:r>
              <w:rPr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48" w:h="11952"/>
      <w:pgMar w:top="936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engagemktg.com  |  List revival cohort report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8062B5"/>
        <w:sz w:val="18"/>
      </w:rPr>
      <w:t>ENGAGEMKTG  /  KNOWLEDGE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35245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5245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5245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Revival Client Report Template</dc:title>
  <dc:subject>Frozen-cohort client reporting template</dc:subject>
  <dc:creator>EngageMKTG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